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0B" w:rsidRPr="00F5730B" w:rsidRDefault="00F5730B" w:rsidP="00F5730B">
      <w:pPr>
        <w:widowControl/>
        <w:spacing w:before="100" w:beforeAutospacing="1" w:after="100" w:afterAutospacing="1" w:line="360" w:lineRule="auto"/>
        <w:jc w:val="center"/>
        <w:outlineLvl w:val="1"/>
        <w:rPr>
          <w:rFonts w:asciiTheme="majorEastAsia" w:eastAsiaTheme="majorEastAsia" w:hAnsiTheme="majorEastAsia" w:cs="Arial"/>
          <w:b/>
          <w:color w:val="333333"/>
          <w:kern w:val="0"/>
          <w:sz w:val="32"/>
          <w:szCs w:val="32"/>
        </w:rPr>
      </w:pPr>
      <w:r w:rsidRPr="00F5730B">
        <w:rPr>
          <w:rFonts w:asciiTheme="majorEastAsia" w:eastAsiaTheme="majorEastAsia" w:hAnsiTheme="majorEastAsia" w:cs="Arial"/>
          <w:b/>
          <w:color w:val="333333"/>
          <w:kern w:val="0"/>
          <w:sz w:val="32"/>
          <w:szCs w:val="32"/>
        </w:rPr>
        <w:t>外商投资企业超过2万家</w:t>
      </w:r>
      <w:r w:rsidR="00A8443B">
        <w:rPr>
          <w:rFonts w:asciiTheme="majorEastAsia" w:eastAsiaTheme="majorEastAsia" w:hAnsiTheme="majorEastAsia" w:cs="Arial" w:hint="eastAsia"/>
          <w:b/>
          <w:color w:val="333333"/>
          <w:kern w:val="0"/>
          <w:sz w:val="32"/>
          <w:szCs w:val="32"/>
        </w:rPr>
        <w:t xml:space="preserve"> </w:t>
      </w:r>
      <w:r w:rsidRPr="00F5730B">
        <w:rPr>
          <w:rFonts w:asciiTheme="majorEastAsia" w:eastAsiaTheme="majorEastAsia" w:hAnsiTheme="majorEastAsia" w:cs="Arial"/>
          <w:b/>
          <w:color w:val="333333"/>
          <w:kern w:val="0"/>
          <w:sz w:val="32"/>
          <w:szCs w:val="32"/>
        </w:rPr>
        <w:t>天津成为外商投资的热土</w:t>
      </w:r>
    </w:p>
    <w:p w:rsidR="00F5730B" w:rsidRPr="00F5730B" w:rsidRDefault="00F5730B" w:rsidP="00F5730B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F5730B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历史上，天津就是中国最早的对外通商口岸之一，世界上许多知名的企业家和金融家很早就到这里创业淘金。如今，天津日臻完善的投资环境、浓厚的创业氛围、极具魅力的市场发展前景和丰厚的投资回报率，吸引了越来越多海外投资者的目光，外资的规模和质量不断提高。截至2015年底，累计有130多个国家和地区的客商在天津投资，批准外商投资企业累计达2万多家。</w:t>
      </w:r>
    </w:p>
    <w:p w:rsidR="00F5730B" w:rsidRPr="00F5730B" w:rsidRDefault="00F5730B" w:rsidP="00F5730B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F5730B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“十二五”期间，天津市充分借助多重发展机遇叠加的难得契机，积极扩大开放，大力改善投资环境，主动开展全方位招商引资，开放载体建设扎实推进，成为吸引世界各国投资的重要汇聚地。</w:t>
      </w:r>
    </w:p>
    <w:p w:rsidR="00F5730B" w:rsidRPr="00F5730B" w:rsidRDefault="00F5730B" w:rsidP="00F5730B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F5730B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利用外资额不断增长。截至2015年底，“十二五”期间实际使用外资849亿美元，比“十一五”时期的367亿美元增长2.3倍，年均增幅达14.3%，利用外资增幅始终保持全国前列。</w:t>
      </w:r>
    </w:p>
    <w:p w:rsidR="00F5730B" w:rsidRPr="00F5730B" w:rsidRDefault="00F5730B" w:rsidP="00F5730B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F5730B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利用外资质量显著提升。“十二五”期间，实施《面向世界500强企业招商引资三年行动计划》成效明显，引进世界500强企业由“十一五”末的143家增加到163家，投资项目由396个增加到480个，投资总额由223亿美元增加到310亿美元。2015年4月，中国(天津)自由贸易试验区挂牌后，招商引资聚集效应日益凸显，截至2015年12月，设立外商投资企业627家，实际使用外资47.2亿美元，合同外资178.9亿美元。</w:t>
      </w:r>
    </w:p>
    <w:p w:rsidR="00F5730B" w:rsidRPr="00F5730B" w:rsidRDefault="00F5730B" w:rsidP="00F5730B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F5730B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外资结构进一步优化。制造业利用外资结构明显变化。“十二五”期间，外资大项目好项目不断集聚，推动制造业做大做强。截至2015年底，全市引进超亿美元项目(含备案项目)77个，合同外资140亿美元，比“十一五”同期分别增长5.1倍、4.6倍。先后引进了大众汽车自动变速器、爱达汽车零部件、艾地盟生物科技等一批优质项目，促成了西门子电气传动、伟创力电子等一批增资项目，拉动作用明显。服务业利用外资结构持续改善。“十二五”时期，实际使用外资442亿美元，是“十一五”同期的2.3倍；融资租赁、商业保理等成为“十</w:t>
      </w:r>
      <w:r w:rsidRPr="00F5730B">
        <w:rPr>
          <w:rFonts w:asciiTheme="minorEastAsia" w:hAnsiTheme="minorEastAsia" w:cs="Arial"/>
          <w:color w:val="333333"/>
          <w:kern w:val="0"/>
          <w:sz w:val="24"/>
          <w:szCs w:val="24"/>
        </w:rPr>
        <w:lastRenderedPageBreak/>
        <w:t>二五”时期服务业引资的新亮点，融资租赁业实际使用外资65亿美元，商业保理业吸引外资实现零的突破。</w:t>
      </w:r>
    </w:p>
    <w:p w:rsidR="00F7453C" w:rsidRPr="00F5730B" w:rsidRDefault="00F5730B" w:rsidP="00F5730B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F5730B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外商投资企业已经成为推动天津经济社会发展的重要力量。天津的快速发展，也为外商在津投资兴业创造了广阔的空间。</w:t>
      </w:r>
    </w:p>
    <w:sectPr w:rsidR="00F7453C" w:rsidRPr="00F5730B" w:rsidSect="00F745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CF9" w:rsidRDefault="00232CF9" w:rsidP="00A8443B">
      <w:r>
        <w:separator/>
      </w:r>
    </w:p>
  </w:endnote>
  <w:endnote w:type="continuationSeparator" w:id="1">
    <w:p w:rsidR="00232CF9" w:rsidRDefault="00232CF9" w:rsidP="00A84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CF9" w:rsidRDefault="00232CF9" w:rsidP="00A8443B">
      <w:r>
        <w:separator/>
      </w:r>
    </w:p>
  </w:footnote>
  <w:footnote w:type="continuationSeparator" w:id="1">
    <w:p w:rsidR="00232CF9" w:rsidRDefault="00232CF9" w:rsidP="00A844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730B"/>
    <w:rsid w:val="00232CF9"/>
    <w:rsid w:val="005B0761"/>
    <w:rsid w:val="00A8443B"/>
    <w:rsid w:val="00F5730B"/>
    <w:rsid w:val="00F7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3C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F5730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F5730B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573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A844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8443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844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844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2</cp:revision>
  <dcterms:created xsi:type="dcterms:W3CDTF">2016-06-21T02:52:00Z</dcterms:created>
  <dcterms:modified xsi:type="dcterms:W3CDTF">2016-06-21T09:14:00Z</dcterms:modified>
</cp:coreProperties>
</file>