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C" w:rsidRDefault="00E6128E" w:rsidP="00E6128E">
      <w:pPr>
        <w:adjustRightInd/>
        <w:snapToGrid/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6128E">
        <w:rPr>
          <w:rFonts w:asciiTheme="majorEastAsia" w:eastAsiaTheme="majorEastAsia" w:hAnsiTheme="majorEastAsia" w:hint="eastAsia"/>
          <w:b/>
          <w:sz w:val="32"/>
          <w:szCs w:val="32"/>
        </w:rPr>
        <w:t>五大战略机遇叠加 天津迎来黄金发展期</w:t>
      </w:r>
    </w:p>
    <w:p w:rsidR="00E6128E" w:rsidRP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天津所面临的五大战略机遇指的是京津冀协同发展、自由贸易试验区建设、国家自主创新示范区建设、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一带一路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建设和滨海新区开发开放。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五大战略叠加的历史性机遇为天津带来前所未有的优势。京津冀协同发展是党中央做出的重大战略部署，为天津发展拓展了广阔空间；自由贸易试验区挂牌，促进以开放倒逼改革，为国家试制度，为地方谋发展；建设国家自主创新示范区，有利于天津发挥引领带动和服务辐射功能，为创新驱动发展提供战略支撑；在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一带一路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战略中，天津作为亚欧大陆桥东部起点、中蒙俄经济走廊的东部起点和海上丝绸之路战略支点，桥头堡作用日益凸显；经过多年开发建设，滨海新区实力日益增强，综合配套改革加快推进，具备了向更高水平迈进的基础和条件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这五大战略的实施，为天津发展提供了有力支撑，使天津迎来了黄金发展期。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十三五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时期，天津经济社会发展目标是：基本实现全国先进制造研发基地、北方国际航运核心区、金融创新运营示范区、改革开放先行区的定位，全面建成高质量小康社会。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建设高质高效、持续发展的经济发达之都。经济保持平稳较快增长，实体经济不断壮大，产业结构优化升级，质量效益明显提高，开放型经济和国际化程度达到新水平，综合实力和城市影响力大幅提升，全市生产总值年均增长</w:t>
      </w:r>
      <w:r>
        <w:rPr>
          <w:rFonts w:ascii="Arial" w:hAnsi="Arial" w:cs="Arial"/>
          <w:color w:val="333333"/>
        </w:rPr>
        <w:t>8.5%</w:t>
      </w:r>
      <w:r>
        <w:rPr>
          <w:rFonts w:ascii="Arial" w:hAnsi="Arial" w:cs="Arial"/>
          <w:color w:val="333333"/>
        </w:rPr>
        <w:t>，服务业增加值占全市生产总值比重超过</w:t>
      </w:r>
      <w:r>
        <w:rPr>
          <w:rFonts w:ascii="Arial" w:hAnsi="Arial" w:cs="Arial"/>
          <w:color w:val="333333"/>
        </w:rPr>
        <w:t>55%</w:t>
      </w:r>
      <w:r>
        <w:rPr>
          <w:rFonts w:ascii="Arial" w:hAnsi="Arial" w:cs="Arial"/>
          <w:color w:val="333333"/>
        </w:rPr>
        <w:t>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建设充满活力、竞争力强的创新创业之都。创新体系更加完善，创新人才大量集聚，自主创新能力显著增强创新创造活力竞相迸发，全社会研发经费支出占全市生产总值比重达到</w:t>
      </w:r>
      <w:r>
        <w:rPr>
          <w:rFonts w:ascii="Arial" w:hAnsi="Arial" w:cs="Arial"/>
          <w:color w:val="333333"/>
        </w:rPr>
        <w:t>3.5%</w:t>
      </w:r>
      <w:r>
        <w:rPr>
          <w:rFonts w:ascii="Arial" w:hAnsi="Arial" w:cs="Arial"/>
          <w:color w:val="333333"/>
        </w:rPr>
        <w:t>，综合科技进步水平保持全国前列。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建设生态良好、环境优美的绿色宜居之都。生态文明建设加快推进，资源节约型、环境友好型的空间格局、产业结构、生产生活方式基本形成，空气质量、水质达标率显著提高，林木绿化率大幅提升。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　　建设文化繁荣、社会文明的魅力人文之都。社会主义核心价值观深入人心，爱国诚信、务实创新、开放包容崇德尊法的社会风尚更加浓厚，市民思想道德素质、科学文化素质、健康素质明显提高，文化软实力显著增强。</w:t>
      </w:r>
    </w:p>
    <w:p w:rsid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建设共有共享、安全安定的和谐幸福之都。公共服务体系更加完善，均等化水平稳步提高，民主法制更加健全，生产生活安全有序，居民收入增长和经济增长、劳动报酬提高和劳动生产率提高保持同步，居民主要健康指标达到世界先进水平。</w:t>
      </w:r>
    </w:p>
    <w:p w:rsidR="00E6128E" w:rsidRPr="00E6128E" w:rsidRDefault="00E6128E" w:rsidP="00E6128E">
      <w:pPr>
        <w:pStyle w:val="a3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</w:t>
      </w:r>
      <w:r>
        <w:rPr>
          <w:rFonts w:ascii="Arial" w:hAnsi="Arial" w:cs="Arial"/>
          <w:color w:val="333333"/>
        </w:rPr>
        <w:t>2016</w:t>
      </w:r>
      <w:r>
        <w:rPr>
          <w:rFonts w:ascii="Arial" w:hAnsi="Arial" w:cs="Arial"/>
          <w:color w:val="333333"/>
        </w:rPr>
        <w:t>年是全面实施</w:t>
      </w:r>
      <w:r>
        <w:rPr>
          <w:rFonts w:ascii="Arial" w:hAnsi="Arial" w:cs="Arial"/>
          <w:color w:val="333333"/>
        </w:rPr>
        <w:t>“</w:t>
      </w:r>
      <w:r>
        <w:rPr>
          <w:rFonts w:ascii="Arial" w:hAnsi="Arial" w:cs="Arial"/>
          <w:color w:val="333333"/>
        </w:rPr>
        <w:t>十三五</w:t>
      </w:r>
      <w:r>
        <w:rPr>
          <w:rFonts w:ascii="Arial" w:hAnsi="Arial" w:cs="Arial"/>
          <w:color w:val="333333"/>
        </w:rPr>
        <w:t>”</w:t>
      </w:r>
      <w:r>
        <w:rPr>
          <w:rFonts w:ascii="Arial" w:hAnsi="Arial" w:cs="Arial"/>
          <w:color w:val="333333"/>
        </w:rPr>
        <w:t>规划的开局之年。全市经济社会发展的主要预期目标是：生产总值增长</w:t>
      </w:r>
      <w:r>
        <w:rPr>
          <w:rFonts w:ascii="Arial" w:hAnsi="Arial" w:cs="Arial"/>
          <w:color w:val="333333"/>
        </w:rPr>
        <w:t>9%</w:t>
      </w:r>
      <w:r>
        <w:rPr>
          <w:rFonts w:ascii="Arial" w:hAnsi="Arial" w:cs="Arial"/>
          <w:color w:val="333333"/>
        </w:rPr>
        <w:t>左右，一般公共预算收入增长</w:t>
      </w:r>
      <w:r>
        <w:rPr>
          <w:rFonts w:ascii="Arial" w:hAnsi="Arial" w:cs="Arial"/>
          <w:color w:val="333333"/>
        </w:rPr>
        <w:t>10%</w:t>
      </w:r>
      <w:r>
        <w:rPr>
          <w:rFonts w:ascii="Arial" w:hAnsi="Arial" w:cs="Arial"/>
          <w:color w:val="333333"/>
        </w:rPr>
        <w:t>，全社会固定资产投资增长</w:t>
      </w:r>
      <w:r>
        <w:rPr>
          <w:rFonts w:ascii="Arial" w:hAnsi="Arial" w:cs="Arial"/>
          <w:color w:val="333333"/>
        </w:rPr>
        <w:t>12%</w:t>
      </w:r>
      <w:r>
        <w:rPr>
          <w:rFonts w:ascii="Arial" w:hAnsi="Arial" w:cs="Arial"/>
          <w:color w:val="333333"/>
        </w:rPr>
        <w:t>，社会消费品零售总额增长</w:t>
      </w:r>
      <w:r>
        <w:rPr>
          <w:rFonts w:ascii="Arial" w:hAnsi="Arial" w:cs="Arial"/>
          <w:color w:val="333333"/>
        </w:rPr>
        <w:t>10%</w:t>
      </w:r>
      <w:r>
        <w:rPr>
          <w:rFonts w:ascii="Arial" w:hAnsi="Arial" w:cs="Arial"/>
          <w:color w:val="333333"/>
        </w:rPr>
        <w:t>，城乡居民收入增长</w:t>
      </w:r>
      <w:r>
        <w:rPr>
          <w:rFonts w:ascii="Arial" w:hAnsi="Arial" w:cs="Arial"/>
          <w:color w:val="333333"/>
        </w:rPr>
        <w:t>9%</w:t>
      </w:r>
      <w:r>
        <w:rPr>
          <w:rFonts w:ascii="Arial" w:hAnsi="Arial" w:cs="Arial"/>
          <w:color w:val="333333"/>
        </w:rPr>
        <w:t>左右，节能减排完成年度任务。</w:t>
      </w:r>
    </w:p>
    <w:sectPr w:rsidR="00E6128E" w:rsidRPr="00E6128E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28E"/>
    <w:rsid w:val="00E6128E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C1AC-E33E-4107-A585-DF34A68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2016-06-21T01:02:00Z</dcterms:created>
  <dcterms:modified xsi:type="dcterms:W3CDTF">2016-06-21T01:10:00Z</dcterms:modified>
</cp:coreProperties>
</file>